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header1.xml" ContentType="application/vnd.openxmlformats-officedocument.wordprocessingml.header+xml"/>
  <Override PartName="/word/footer3.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3.xml" ContentType="application/vnd.openxmlformats-officedocument.wordprocessingml.header+xml"/>
  <Override PartName="/word/styles.xml" ContentType="application/vnd.openxmlformats-officedocument.wordprocessingml.styles+xml"/>
  <Override PartName="/customXml/itemProps1.xml" ContentType="application/vnd.openxmlformats-officedocument.customXmlProperties+xml"/>
  <Override PartName="/word/footnotes.xml" ContentType="application/vnd.openxmlformats-officedocument.wordprocessingml.footnotes+xml"/>
  <Override PartName="/word/footer2.xml" ContentType="application/vnd.openxmlformats-officedocument.wordprocessingml.footer+xml"/>
  <Override PartName="/word/webSettings.xml" ContentType="application/vnd.openxmlformats-officedocument.wordprocessingml.webSettings+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412"/>
        <w:gridCol w:w="333"/>
        <w:gridCol w:w="1013"/>
        <w:gridCol w:w="3676"/>
        <w:gridCol w:w="4142"/>
      </w:tblGrid>
      <w:tr>
        <w:tc>
          <w:tcPr>
            <w:tcW w:w="9576" w:type="dxa"/>
            <w:gridSpan w:val="5"/>
          </w:tcPr>
          <w:p>
            <w:pPr>
              <w:rPr>
                <w:b/>
              </w:rPr>
            </w:pPr>
            <w:bookmarkStart w:id="0" w:name="_GoBack"/>
            <w:bookmarkEnd w:id="0"/>
            <w:r>
              <w:rPr>
                <w:b/>
              </w:rPr>
              <w:t>OTHER PERTINENT INFORMATION</w:t>
            </w:r>
          </w:p>
        </w:tc>
      </w:tr>
      <w:tr>
        <w:tc>
          <w:tcPr>
            <w:tcW w:w="9576" w:type="dxa"/>
            <w:gridSpan w:val="5"/>
          </w:tcPr>
          <w:p>
            <w:pPr>
              <w:spacing w:before="60"/>
              <w:rPr>
                <w:b/>
              </w:rPr>
            </w:pPr>
            <w:r>
              <w:rPr>
                <w:b/>
              </w:rPr>
              <w:t>13. TABLE 3. ALTERNATIVES ANALYSIS</w:t>
            </w:r>
          </w:p>
        </w:tc>
      </w:tr>
      <w:tr>
        <w:tc>
          <w:tcPr>
            <w:tcW w:w="1758" w:type="dxa"/>
            <w:gridSpan w:val="3"/>
          </w:tcPr>
          <w:p>
            <w:pPr>
              <w:spacing w:before="60"/>
            </w:pPr>
          </w:p>
        </w:tc>
        <w:tc>
          <w:tcPr>
            <w:tcW w:w="3676" w:type="dxa"/>
          </w:tcPr>
          <w:p>
            <w:pPr>
              <w:spacing w:before="60"/>
              <w:rPr>
                <w:b/>
              </w:rPr>
            </w:pPr>
            <w:r>
              <w:rPr>
                <w:b/>
              </w:rPr>
              <w:t>A. Analysis of potable alternatives</w:t>
            </w:r>
            <w:r>
              <w:rPr>
                <w:b/>
              </w:rPr>
              <w:br/>
              <w:t xml:space="preserve">    Attach additional sheets if necessary.</w:t>
            </w:r>
          </w:p>
        </w:tc>
        <w:tc>
          <w:tcPr>
            <w:tcW w:w="4142" w:type="dxa"/>
          </w:tcPr>
          <w:p>
            <w:pPr>
              <w:spacing w:before="60"/>
            </w:pPr>
            <w:r>
              <w:rPr>
                <w:b/>
              </w:rPr>
              <w:t>B. Analysis of non-potable alternatives</w:t>
            </w:r>
            <w:r>
              <w:rPr>
                <w:b/>
              </w:rPr>
              <w:br/>
              <w:t xml:space="preserve">    Attach additional sheets if necessary.</w:t>
            </w:r>
          </w:p>
        </w:tc>
      </w:tr>
      <w:tr>
        <w:tc>
          <w:tcPr>
            <w:tcW w:w="1758" w:type="dxa"/>
            <w:gridSpan w:val="3"/>
          </w:tcPr>
          <w:p>
            <w:pPr>
              <w:spacing w:before="60"/>
            </w:pPr>
            <w:r>
              <w:t>Municipal sources</w:t>
            </w:r>
          </w:p>
          <w:p>
            <w:pPr>
              <w:spacing w:before="60"/>
            </w:pPr>
          </w:p>
          <w:p>
            <w:pPr>
              <w:spacing w:before="60"/>
            </w:pPr>
          </w:p>
        </w:tc>
        <w:tc>
          <w:tcPr>
            <w:tcW w:w="3676" w:type="dxa"/>
          </w:tcPr>
          <w:p>
            <w:pPr>
              <w:spacing w:before="60"/>
            </w:pPr>
            <w:r>
              <w:t>There are no municipal potable water sources available at Kapalua.</w:t>
            </w:r>
          </w:p>
        </w:tc>
        <w:tc>
          <w:tcPr>
            <w:tcW w:w="4142" w:type="dxa"/>
          </w:tcPr>
          <w:p>
            <w:pPr>
              <w:spacing w:before="60"/>
            </w:pPr>
          </w:p>
        </w:tc>
      </w:tr>
      <w:tr>
        <w:tc>
          <w:tcPr>
            <w:tcW w:w="1758" w:type="dxa"/>
            <w:gridSpan w:val="3"/>
          </w:tcPr>
          <w:p>
            <w:pPr>
              <w:spacing w:before="60"/>
            </w:pPr>
            <w:r>
              <w:t>Wastewater reuse</w:t>
            </w:r>
          </w:p>
          <w:p>
            <w:pPr>
              <w:spacing w:before="60"/>
            </w:pPr>
          </w:p>
          <w:p>
            <w:pPr>
              <w:spacing w:before="60"/>
            </w:pPr>
          </w:p>
        </w:tc>
        <w:tc>
          <w:tcPr>
            <w:tcW w:w="3676" w:type="dxa"/>
          </w:tcPr>
          <w:p>
            <w:pPr>
              <w:spacing w:before="60"/>
            </w:pPr>
            <w:r>
              <w:t>There is no recycled wastewater available for potable use at Kapalua.</w:t>
            </w:r>
          </w:p>
        </w:tc>
        <w:tc>
          <w:tcPr>
            <w:tcW w:w="4142" w:type="dxa"/>
          </w:tcPr>
          <w:p>
            <w:pPr>
              <w:spacing w:before="60"/>
            </w:pPr>
          </w:p>
        </w:tc>
      </w:tr>
      <w:tr>
        <w:tc>
          <w:tcPr>
            <w:tcW w:w="1758" w:type="dxa"/>
            <w:gridSpan w:val="3"/>
          </w:tcPr>
          <w:p>
            <w:pPr>
              <w:spacing w:before="60"/>
            </w:pPr>
            <w:r>
              <w:t>Ditch system</w:t>
            </w:r>
          </w:p>
          <w:p>
            <w:pPr>
              <w:spacing w:before="60"/>
            </w:pPr>
          </w:p>
          <w:p>
            <w:pPr>
              <w:spacing w:before="60"/>
            </w:pPr>
          </w:p>
        </w:tc>
        <w:tc>
          <w:tcPr>
            <w:tcW w:w="3676" w:type="dxa"/>
          </w:tcPr>
          <w:p>
            <w:pPr>
              <w:spacing w:before="60"/>
            </w:pPr>
            <w:r>
              <w:t>There is not ditch water available for potable use at Kapalua.</w:t>
            </w:r>
          </w:p>
        </w:tc>
        <w:tc>
          <w:tcPr>
            <w:tcW w:w="4142" w:type="dxa"/>
          </w:tcPr>
          <w:p>
            <w:pPr>
              <w:spacing w:before="60"/>
            </w:pPr>
          </w:p>
        </w:tc>
      </w:tr>
      <w:tr>
        <w:tc>
          <w:tcPr>
            <w:tcW w:w="1758" w:type="dxa"/>
            <w:gridSpan w:val="3"/>
          </w:tcPr>
          <w:p>
            <w:pPr>
              <w:spacing w:before="60"/>
            </w:pPr>
            <w:r>
              <w:t>Surface water</w:t>
            </w:r>
          </w:p>
          <w:p>
            <w:pPr>
              <w:spacing w:before="60"/>
            </w:pPr>
          </w:p>
          <w:p>
            <w:pPr>
              <w:spacing w:before="60"/>
            </w:pPr>
          </w:p>
        </w:tc>
        <w:tc>
          <w:tcPr>
            <w:tcW w:w="3676" w:type="dxa"/>
          </w:tcPr>
          <w:p>
            <w:pPr>
              <w:spacing w:before="60"/>
            </w:pPr>
            <w:r>
              <w:t>There is no surface water available for potable use at Kapalua.</w:t>
            </w:r>
          </w:p>
        </w:tc>
        <w:tc>
          <w:tcPr>
            <w:tcW w:w="4142" w:type="dxa"/>
          </w:tcPr>
          <w:p>
            <w:pPr>
              <w:spacing w:before="60"/>
            </w:pPr>
          </w:p>
        </w:tc>
      </w:tr>
      <w:tr>
        <w:tc>
          <w:tcPr>
            <w:tcW w:w="1758" w:type="dxa"/>
            <w:gridSpan w:val="3"/>
          </w:tcPr>
          <w:p>
            <w:pPr>
              <w:spacing w:before="60"/>
            </w:pPr>
            <w:r>
              <w:t>Desalinization</w:t>
            </w:r>
          </w:p>
          <w:p>
            <w:pPr>
              <w:spacing w:before="60"/>
            </w:pPr>
          </w:p>
          <w:p>
            <w:pPr>
              <w:spacing w:before="60"/>
            </w:pPr>
          </w:p>
        </w:tc>
        <w:tc>
          <w:tcPr>
            <w:tcW w:w="3676" w:type="dxa"/>
          </w:tcPr>
          <w:p>
            <w:pPr>
              <w:spacing w:before="60"/>
            </w:pPr>
            <w:r>
              <w:t>There is presently no desalinization infrastructure in place at Kapalua to provide an alternate source of potable water.</w:t>
            </w:r>
          </w:p>
        </w:tc>
        <w:tc>
          <w:tcPr>
            <w:tcW w:w="4142" w:type="dxa"/>
          </w:tcPr>
          <w:p>
            <w:pPr>
              <w:spacing w:before="60"/>
            </w:pPr>
          </w:p>
        </w:tc>
      </w:tr>
      <w:tr>
        <w:tc>
          <w:tcPr>
            <w:tcW w:w="1758" w:type="dxa"/>
            <w:gridSpan w:val="3"/>
          </w:tcPr>
          <w:p>
            <w:pPr>
              <w:spacing w:before="60"/>
            </w:pPr>
            <w:r>
              <w:t>Other</w:t>
            </w:r>
          </w:p>
          <w:p>
            <w:pPr>
              <w:spacing w:before="60"/>
            </w:pPr>
          </w:p>
        </w:tc>
        <w:tc>
          <w:tcPr>
            <w:tcW w:w="3676" w:type="dxa"/>
          </w:tcPr>
          <w:p>
            <w:pPr>
              <w:spacing w:before="60"/>
            </w:pPr>
            <w:r>
              <w:t>None</w:t>
            </w:r>
          </w:p>
        </w:tc>
        <w:tc>
          <w:tcPr>
            <w:tcW w:w="4142" w:type="dxa"/>
          </w:tcPr>
          <w:p>
            <w:pPr>
              <w:spacing w:before="60"/>
            </w:pPr>
          </w:p>
        </w:tc>
      </w:tr>
      <w:tr>
        <w:tc>
          <w:tcPr>
            <w:tcW w:w="9576" w:type="dxa"/>
            <w:gridSpan w:val="5"/>
          </w:tcPr>
          <w:p>
            <w:pPr>
              <w:pStyle w:val="hang"/>
              <w:rPr>
                <w:rFonts w:ascii="Times New Roman" w:hAnsi="Times New Roman"/>
                <w:b w:val="0"/>
              </w:rPr>
            </w:pPr>
            <w:r>
              <w:t>14.</w:t>
            </w:r>
            <w:r>
              <w:tab/>
              <w:t>PUBLIC INTEREST</w:t>
            </w:r>
            <w:r>
              <w:br/>
            </w:r>
            <w:r>
              <w:rPr>
                <w:rFonts w:cs="Arial"/>
              </w:rPr>
              <w:t>§</w:t>
            </w:r>
            <w:r>
              <w:rPr>
                <w:rFonts w:ascii="Times New Roman" w:hAnsi="Times New Roman"/>
                <w:b w:val="0"/>
              </w:rPr>
              <w:t>174C-2©, HRS STATES: The state water code shall be liberally interpreted to [a] obtain maximum beneficial use of the waters of the State for purposes such as domestic uses, agriculture uses, irrigation and other agricultural uses, power development, and commercial and industrial uses. However, [b] adequate provision shall be made for the protection of traditional and customary Hawaiian rights, the protection and procreation of fish and wildlife, the maintenance of proper ecological balance and scenic beauty, and the preservation and enhancement of waters of the State for municipal, public recreation, public water supply, agriculture, and navigation. Such objectives are declared to be the public interest.</w:t>
            </w:r>
          </w:p>
          <w:p>
            <w:pPr>
              <w:pStyle w:val="hang"/>
              <w:rPr>
                <w:rFonts w:ascii="Times New Roman" w:hAnsi="Times New Roman"/>
                <w:b w:val="0"/>
              </w:rPr>
            </w:pPr>
            <w:r>
              <w:rPr>
                <w:rFonts w:ascii="Times New Roman" w:hAnsi="Times New Roman"/>
                <w:b w:val="0"/>
              </w:rPr>
              <w:tab/>
              <w:t>Explain how the use in your application is consistent with items [a] and [b] above.</w:t>
            </w:r>
          </w:p>
          <w:p>
            <w:pPr>
              <w:pStyle w:val="hang"/>
              <w:rPr>
                <w:rFonts w:ascii="Times New Roman" w:hAnsi="Times New Roman"/>
                <w:b w:val="0"/>
              </w:rPr>
            </w:pPr>
          </w:p>
          <w:p>
            <w:pPr>
              <w:pStyle w:val="hang"/>
              <w:rPr>
                <w:rFonts w:ascii="Times New Roman" w:hAnsi="Times New Roman"/>
                <w:b w:val="0"/>
              </w:rPr>
            </w:pPr>
            <w:r>
              <w:rPr>
                <w:rFonts w:ascii="Times New Roman" w:hAnsi="Times New Roman"/>
                <w:b w:val="0"/>
              </w:rPr>
              <w:t>Please see the attached report on the benefits of the golf course  and realted facilities owned by TY Management Corporation at Kapalua requiring potable water.</w:t>
            </w:r>
          </w:p>
          <w:p>
            <w:pPr>
              <w:pStyle w:val="hang"/>
              <w:rPr>
                <w:rFonts w:ascii="Times New Roman" w:hAnsi="Times New Roman"/>
                <w:b w:val="0"/>
              </w:rPr>
            </w:pPr>
          </w:p>
          <w:p>
            <w:pPr>
              <w:pStyle w:val="hang"/>
              <w:rPr>
                <w:rFonts w:ascii="Times New Roman" w:hAnsi="Times New Roman"/>
                <w:b w:val="0"/>
              </w:rPr>
            </w:pPr>
          </w:p>
          <w:p>
            <w:pPr>
              <w:pStyle w:val="hang"/>
            </w:pPr>
          </w:p>
        </w:tc>
      </w:tr>
      <w:tr>
        <w:tc>
          <w:tcPr>
            <w:tcW w:w="412" w:type="dxa"/>
            <w:tcBorders>
              <w:right w:val="nil"/>
            </w:tcBorders>
          </w:tcPr>
          <w:p>
            <w:pPr>
              <w:spacing w:before="60"/>
              <w:rPr>
                <w:b/>
              </w:rPr>
            </w:pPr>
            <w:r>
              <w:rPr>
                <w:b/>
              </w:rPr>
              <w:t>15.</w:t>
            </w:r>
          </w:p>
        </w:tc>
        <w:tc>
          <w:tcPr>
            <w:tcW w:w="9164" w:type="dxa"/>
            <w:gridSpan w:val="4"/>
            <w:tcBorders>
              <w:left w:val="nil"/>
            </w:tcBorders>
          </w:tcPr>
          <w:p>
            <w:pPr>
              <w:spacing w:before="60"/>
              <w:rPr>
                <w:b/>
              </w:rPr>
            </w:pPr>
            <w:r>
              <w:rPr>
                <w:b/>
              </w:rPr>
              <w:t>KA PA'AKAI ANALYSIS</w:t>
            </w:r>
          </w:p>
        </w:tc>
      </w:tr>
      <w:tr>
        <w:tc>
          <w:tcPr>
            <w:tcW w:w="412" w:type="dxa"/>
            <w:tcBorders>
              <w:right w:val="nil"/>
            </w:tcBorders>
          </w:tcPr>
          <w:p>
            <w:pPr>
              <w:spacing w:before="60"/>
            </w:pPr>
          </w:p>
        </w:tc>
        <w:tc>
          <w:tcPr>
            <w:tcW w:w="333" w:type="dxa"/>
            <w:tcBorders>
              <w:left w:val="nil"/>
              <w:right w:val="nil"/>
            </w:tcBorders>
          </w:tcPr>
          <w:p>
            <w:pPr>
              <w:spacing w:before="60"/>
            </w:pPr>
            <w:r>
              <w:t>a.</w:t>
            </w:r>
          </w:p>
        </w:tc>
        <w:tc>
          <w:tcPr>
            <w:tcW w:w="8831" w:type="dxa"/>
            <w:gridSpan w:val="3"/>
            <w:tcBorders>
              <w:left w:val="nil"/>
            </w:tcBorders>
          </w:tcPr>
          <w:p>
            <w:pPr>
              <w:spacing w:before="60"/>
            </w:pPr>
            <w:r>
              <w:t>Please provide the identity and scope of cultural historical and natural resources in which traditional and customary Nave Hawaiian rights are exercised in this area.</w:t>
            </w:r>
          </w:p>
          <w:p>
            <w:pPr>
              <w:spacing w:before="60"/>
            </w:pPr>
          </w:p>
          <w:p>
            <w:pPr>
              <w:spacing w:before="60"/>
            </w:pPr>
          </w:p>
          <w:p>
            <w:pPr>
              <w:spacing w:before="60"/>
            </w:pPr>
          </w:p>
        </w:tc>
      </w:tr>
      <w:tr>
        <w:tc>
          <w:tcPr>
            <w:tcW w:w="412" w:type="dxa"/>
            <w:tcBorders>
              <w:right w:val="nil"/>
            </w:tcBorders>
          </w:tcPr>
          <w:p>
            <w:pPr>
              <w:spacing w:before="60"/>
            </w:pPr>
          </w:p>
        </w:tc>
        <w:tc>
          <w:tcPr>
            <w:tcW w:w="333" w:type="dxa"/>
            <w:tcBorders>
              <w:left w:val="nil"/>
              <w:right w:val="nil"/>
            </w:tcBorders>
          </w:tcPr>
          <w:p>
            <w:pPr>
              <w:spacing w:before="60"/>
            </w:pPr>
            <w:r>
              <w:t>b.</w:t>
            </w:r>
          </w:p>
        </w:tc>
        <w:tc>
          <w:tcPr>
            <w:tcW w:w="8831" w:type="dxa"/>
            <w:gridSpan w:val="3"/>
            <w:tcBorders>
              <w:left w:val="nil"/>
            </w:tcBorders>
          </w:tcPr>
          <w:p>
            <w:pPr>
              <w:spacing w:before="60"/>
            </w:pPr>
            <w:r>
              <w:t>Identify the extent to which those resources, including traditional and customary Native Hawaiian rights, will be affected  or impaired by the proposed action.</w:t>
            </w:r>
          </w:p>
          <w:p>
            <w:pPr>
              <w:spacing w:before="60"/>
            </w:pPr>
          </w:p>
          <w:p>
            <w:pPr>
              <w:spacing w:before="60"/>
            </w:pPr>
          </w:p>
          <w:p>
            <w:pPr>
              <w:spacing w:before="60"/>
            </w:pPr>
          </w:p>
        </w:tc>
      </w:tr>
      <w:tr>
        <w:tc>
          <w:tcPr>
            <w:tcW w:w="412" w:type="dxa"/>
            <w:tcBorders>
              <w:right w:val="nil"/>
            </w:tcBorders>
          </w:tcPr>
          <w:p>
            <w:pPr>
              <w:spacing w:before="60"/>
            </w:pPr>
          </w:p>
        </w:tc>
        <w:tc>
          <w:tcPr>
            <w:tcW w:w="333" w:type="dxa"/>
            <w:tcBorders>
              <w:left w:val="nil"/>
              <w:bottom w:val="single" w:sz="4" w:space="0" w:color="auto"/>
              <w:right w:val="nil"/>
            </w:tcBorders>
          </w:tcPr>
          <w:p>
            <w:pPr>
              <w:spacing w:before="60"/>
            </w:pPr>
            <w:r>
              <w:t>c.</w:t>
            </w:r>
          </w:p>
        </w:tc>
        <w:tc>
          <w:tcPr>
            <w:tcW w:w="8831" w:type="dxa"/>
            <w:gridSpan w:val="3"/>
            <w:tcBorders>
              <w:left w:val="nil"/>
            </w:tcBorders>
          </w:tcPr>
          <w:p>
            <w:pPr>
              <w:spacing w:before="60"/>
            </w:pPr>
            <w:r>
              <w:t>What feasible action, if any, could be taken to reasonably protect Native Hawaiian rights?</w:t>
            </w:r>
          </w:p>
          <w:p>
            <w:pPr>
              <w:spacing w:before="60"/>
            </w:pPr>
          </w:p>
          <w:p>
            <w:pPr>
              <w:spacing w:before="60"/>
            </w:pPr>
          </w:p>
          <w:p>
            <w:pPr>
              <w:spacing w:before="60"/>
            </w:pPr>
          </w:p>
        </w:tc>
      </w:tr>
    </w:tbl>
    <w:p/>
    <w:sectPr>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spacing w:line="200" w:lineRule="exact"/>
    </w:pPr>
    <w:r>
      <w:rPr>
        <w:rStyle w:val="zzmpTrailerItem"/>
      </w:rPr>
      <w:t>4884-1471-8830.1</w:t>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spacing w:line="200" w:lineRule="exact"/>
    </w:pPr>
    <w:r>
      <w:rPr>
        <w:rStyle w:val="zzmpTrailerItem"/>
      </w:rPr>
      <w:t>4884-1471-8830.1</w: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qFormat="1"/>
    <w:lsdException w:name="Subtitle" w:uiPriority="11"/>
    <w:lsdException w:name="Strong" w:uiPriority="22"/>
    <w:lsdException w:name="Emphasis" w:uiPriority="20"/>
    <w:lsdException w:name="Table Grid" w:semiHidden="0" w:uiPriority="59" w:unhideWhenUsed="0"/>
    <w:lsdException w:name="Placeholder Text" w:unhideWhenUsed="0"/>
    <w:lsdException w:name="No Spacing" w:uiPriority="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lsdException w:name="Quote" w:semiHidden="0" w:uiPriority="0" w:unhideWhenUsed="0"/>
    <w:lsdException w:name="Intense Quote" w:uiPriority="3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qFormat/>
    <w:pPr>
      <w:spacing w:after="0" w:line="240" w:lineRule="auto"/>
    </w:pPr>
    <w:rPr>
      <w:rFonts w:ascii="Arial" w:hAnsi="Arial" w:cs="Times New Roman"/>
      <w:sz w:val="1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widowControl w:val="0"/>
      <w:spacing w:after="240"/>
      <w:ind w:firstLine="720"/>
    </w:pPr>
  </w:style>
  <w:style w:type="character" w:customStyle="1" w:styleId="BodyTextChar">
    <w:name w:val="Body Text Char"/>
    <w:basedOn w:val="DefaultParagraphFont"/>
    <w:link w:val="BodyText"/>
    <w:rPr>
      <w:rFonts w:ascii="Times New Roman" w:eastAsia="Times New Roman" w:hAnsi="Times New Roman" w:cs="Times New Roman"/>
      <w:sz w:val="24"/>
      <w:szCs w:val="24"/>
      <w:lang w:eastAsia="en-US"/>
    </w:rPr>
  </w:style>
  <w:style w:type="paragraph" w:customStyle="1" w:styleId="BodyText10Indent">
    <w:name w:val="Body Text 1.0 Indent"/>
    <w:basedOn w:val="Normal"/>
    <w:next w:val="Normal"/>
    <w:link w:val="BodyText10IndentChar"/>
    <w:qFormat/>
    <w:pPr>
      <w:spacing w:after="240"/>
      <w:ind w:firstLine="1440"/>
    </w:pPr>
    <w:rPr>
      <w:szCs w:val="20"/>
    </w:rPr>
  </w:style>
  <w:style w:type="character" w:customStyle="1" w:styleId="BodyText10IndentChar">
    <w:name w:val="Body Text 1.0 Indent Char"/>
    <w:link w:val="BodyText10Indent"/>
    <w:rPr>
      <w:rFonts w:ascii="Times New Roman" w:eastAsia="Times New Roman" w:hAnsi="Times New Roman" w:cs="Times New Roman"/>
      <w:sz w:val="24"/>
      <w:szCs w:val="20"/>
      <w:lang w:eastAsia="en-US"/>
    </w:rPr>
  </w:style>
  <w:style w:type="paragraph" w:customStyle="1" w:styleId="BodyTextContinued">
    <w:name w:val="Body Text Continued"/>
    <w:basedOn w:val="BodyText"/>
    <w:next w:val="BodyText"/>
    <w:qFormat/>
    <w:pPr>
      <w:ind w:firstLine="0"/>
    </w:pPr>
    <w:rPr>
      <w:szCs w:val="20"/>
    </w:rPr>
  </w:style>
  <w:style w:type="paragraph" w:customStyle="1" w:styleId="DoubleIndent10">
    <w:name w:val="Double Indent 1.0"/>
    <w:basedOn w:val="Normal"/>
    <w:next w:val="Normal"/>
    <w:qFormat/>
    <w:pPr>
      <w:spacing w:after="240"/>
      <w:ind w:left="1440" w:right="1440"/>
    </w:pPr>
    <w:rPr>
      <w:szCs w:val="20"/>
    </w:rPr>
  </w:style>
  <w:style w:type="paragraph" w:customStyle="1" w:styleId="DoubleIndent15">
    <w:name w:val="Double Indent 1.5"/>
    <w:basedOn w:val="Normal"/>
    <w:next w:val="Normal"/>
    <w:qFormat/>
    <w:pPr>
      <w:spacing w:after="240"/>
      <w:ind w:left="2160" w:right="2160"/>
    </w:pPr>
    <w:rPr>
      <w:szCs w:val="20"/>
    </w:rPr>
  </w:style>
  <w:style w:type="paragraph" w:styleId="Footer">
    <w:name w:val="footer"/>
    <w:basedOn w:val="Normal"/>
    <w:link w:val="FooterChar"/>
    <w:pPr>
      <w:tabs>
        <w:tab w:val="center" w:pos="4680"/>
        <w:tab w:val="right" w:pos="9360"/>
      </w:tabs>
    </w:pPr>
  </w:style>
  <w:style w:type="character" w:customStyle="1" w:styleId="FooterChar">
    <w:name w:val="Footer Char"/>
    <w:basedOn w:val="DefaultParagraphFont"/>
    <w:link w:val="Footer"/>
    <w:rPr>
      <w:rFonts w:ascii="Times New Roman" w:eastAsia="Times New Roman" w:hAnsi="Times New Roman" w:cs="Times New Roman"/>
      <w:sz w:val="24"/>
      <w:szCs w:val="24"/>
      <w:lang w:eastAsia="en-US"/>
    </w:r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ascii="Times New Roman" w:eastAsia="Times New Roman" w:hAnsi="Times New Roman" w:cs="Times New Roman"/>
      <w:sz w:val="24"/>
      <w:szCs w:val="24"/>
      <w:lang w:eastAsia="en-US"/>
    </w:rPr>
  </w:style>
  <w:style w:type="character" w:styleId="PageNumber">
    <w:name w:val="page number"/>
    <w:basedOn w:val="DefaultParagraphFont"/>
  </w:style>
  <w:style w:type="paragraph" w:styleId="Quote">
    <w:name w:val="Quote"/>
    <w:basedOn w:val="Normal"/>
    <w:next w:val="BodyTextContinued"/>
    <w:link w:val="QuoteChar"/>
    <w:pPr>
      <w:spacing w:after="240"/>
      <w:ind w:left="1440" w:right="1440"/>
    </w:pPr>
    <w:rPr>
      <w:szCs w:val="20"/>
    </w:rPr>
  </w:style>
  <w:style w:type="character" w:customStyle="1" w:styleId="QuoteChar">
    <w:name w:val="Quote Char"/>
    <w:basedOn w:val="DefaultParagraphFont"/>
    <w:link w:val="Quote"/>
    <w:rPr>
      <w:rFonts w:ascii="Times New Roman" w:eastAsia="Times New Roman" w:hAnsi="Times New Roman" w:cs="Times New Roman"/>
      <w:sz w:val="24"/>
      <w:szCs w:val="20"/>
      <w:lang w:eastAsia="en-US"/>
    </w:rPr>
  </w:style>
  <w:style w:type="paragraph" w:styleId="Title">
    <w:name w:val="Title"/>
    <w:basedOn w:val="Normal"/>
    <w:next w:val="BodyText"/>
    <w:link w:val="TitleChar"/>
    <w:qFormat/>
    <w:pPr>
      <w:spacing w:after="240"/>
      <w:jc w:val="center"/>
      <w:outlineLvl w:val="0"/>
    </w:pPr>
    <w:rPr>
      <w:b/>
      <w:caps/>
      <w:szCs w:val="20"/>
    </w:rPr>
  </w:style>
  <w:style w:type="character" w:customStyle="1" w:styleId="TitleChar">
    <w:name w:val="Title Char"/>
    <w:basedOn w:val="DefaultParagraphFont"/>
    <w:link w:val="Title"/>
    <w:rPr>
      <w:rFonts w:ascii="Times New Roman" w:eastAsia="Times New Roman" w:hAnsi="Times New Roman" w:cs="Times New Roman"/>
      <w:b/>
      <w:caps/>
      <w:sz w:val="24"/>
      <w:szCs w:val="20"/>
      <w:lang w:eastAsia="en-US"/>
    </w:rPr>
  </w:style>
  <w:style w:type="table" w:styleId="TableGrid">
    <w:name w:val="Table Grid"/>
    <w:basedOn w:val="TableNormal"/>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ang">
    <w:name w:val="hang"/>
    <w:basedOn w:val="Normal"/>
    <w:qFormat/>
    <w:pPr>
      <w:tabs>
        <w:tab w:val="left" w:pos="336"/>
      </w:tabs>
      <w:spacing w:before="60"/>
      <w:ind w:left="288" w:hanging="288"/>
    </w:pPr>
    <w:rPr>
      <w:b/>
    </w:rPr>
  </w:style>
  <w:style w:type="character" w:customStyle="1" w:styleId="zzmpTrailerItem">
    <w:name w:val="zzmpTrailerItem"/>
    <w:rPr>
      <w:rFonts w:ascii="Arial" w:hAnsi="Arial" w:cs="Arial"/>
      <w:dstrike w:val="0"/>
      <w:noProof/>
      <w:color w:val="auto"/>
      <w:spacing w:val="0"/>
      <w:position w:val="0"/>
      <w:sz w:val="16"/>
      <w:szCs w:val="16"/>
      <w:u w:val="none"/>
      <w:effect w:val="none"/>
      <w:vertAlign w:val="base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qFormat="1"/>
    <w:lsdException w:name="Subtitle" w:uiPriority="11"/>
    <w:lsdException w:name="Strong" w:uiPriority="22"/>
    <w:lsdException w:name="Emphasis" w:uiPriority="20"/>
    <w:lsdException w:name="Table Grid" w:semiHidden="0" w:uiPriority="59" w:unhideWhenUsed="0"/>
    <w:lsdException w:name="Placeholder Text" w:unhideWhenUsed="0"/>
    <w:lsdException w:name="No Spacing" w:uiPriority="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lsdException w:name="Quote" w:semiHidden="0" w:uiPriority="0" w:unhideWhenUsed="0"/>
    <w:lsdException w:name="Intense Quote" w:uiPriority="3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qFormat/>
    <w:pPr>
      <w:spacing w:after="0" w:line="240" w:lineRule="auto"/>
    </w:pPr>
    <w:rPr>
      <w:rFonts w:ascii="Arial" w:hAnsi="Arial" w:cs="Times New Roman"/>
      <w:sz w:val="1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widowControl w:val="0"/>
      <w:spacing w:after="240"/>
      <w:ind w:firstLine="720"/>
    </w:pPr>
  </w:style>
  <w:style w:type="character" w:customStyle="1" w:styleId="BodyTextChar">
    <w:name w:val="Body Text Char"/>
    <w:basedOn w:val="DefaultParagraphFont"/>
    <w:link w:val="BodyText"/>
    <w:rPr>
      <w:rFonts w:ascii="Times New Roman" w:eastAsia="Times New Roman" w:hAnsi="Times New Roman" w:cs="Times New Roman"/>
      <w:sz w:val="24"/>
      <w:szCs w:val="24"/>
      <w:lang w:eastAsia="en-US"/>
    </w:rPr>
  </w:style>
  <w:style w:type="paragraph" w:customStyle="1" w:styleId="BodyText10Indent">
    <w:name w:val="Body Text 1.0 Indent"/>
    <w:basedOn w:val="Normal"/>
    <w:next w:val="Normal"/>
    <w:link w:val="BodyText10IndentChar"/>
    <w:qFormat/>
    <w:pPr>
      <w:spacing w:after="240"/>
      <w:ind w:firstLine="1440"/>
    </w:pPr>
    <w:rPr>
      <w:szCs w:val="20"/>
    </w:rPr>
  </w:style>
  <w:style w:type="character" w:customStyle="1" w:styleId="BodyText10IndentChar">
    <w:name w:val="Body Text 1.0 Indent Char"/>
    <w:link w:val="BodyText10Indent"/>
    <w:rPr>
      <w:rFonts w:ascii="Times New Roman" w:eastAsia="Times New Roman" w:hAnsi="Times New Roman" w:cs="Times New Roman"/>
      <w:sz w:val="24"/>
      <w:szCs w:val="20"/>
      <w:lang w:eastAsia="en-US"/>
    </w:rPr>
  </w:style>
  <w:style w:type="paragraph" w:customStyle="1" w:styleId="BodyTextContinued">
    <w:name w:val="Body Text Continued"/>
    <w:basedOn w:val="BodyText"/>
    <w:next w:val="BodyText"/>
    <w:qFormat/>
    <w:pPr>
      <w:ind w:firstLine="0"/>
    </w:pPr>
    <w:rPr>
      <w:szCs w:val="20"/>
    </w:rPr>
  </w:style>
  <w:style w:type="paragraph" w:customStyle="1" w:styleId="DoubleIndent10">
    <w:name w:val="Double Indent 1.0"/>
    <w:basedOn w:val="Normal"/>
    <w:next w:val="Normal"/>
    <w:qFormat/>
    <w:pPr>
      <w:spacing w:after="240"/>
      <w:ind w:left="1440" w:right="1440"/>
    </w:pPr>
    <w:rPr>
      <w:szCs w:val="20"/>
    </w:rPr>
  </w:style>
  <w:style w:type="paragraph" w:customStyle="1" w:styleId="DoubleIndent15">
    <w:name w:val="Double Indent 1.5"/>
    <w:basedOn w:val="Normal"/>
    <w:next w:val="Normal"/>
    <w:qFormat/>
    <w:pPr>
      <w:spacing w:after="240"/>
      <w:ind w:left="2160" w:right="2160"/>
    </w:pPr>
    <w:rPr>
      <w:szCs w:val="20"/>
    </w:rPr>
  </w:style>
  <w:style w:type="paragraph" w:styleId="Footer">
    <w:name w:val="footer"/>
    <w:basedOn w:val="Normal"/>
    <w:link w:val="FooterChar"/>
    <w:pPr>
      <w:tabs>
        <w:tab w:val="center" w:pos="4680"/>
        <w:tab w:val="right" w:pos="9360"/>
      </w:tabs>
    </w:pPr>
  </w:style>
  <w:style w:type="character" w:customStyle="1" w:styleId="FooterChar">
    <w:name w:val="Footer Char"/>
    <w:basedOn w:val="DefaultParagraphFont"/>
    <w:link w:val="Footer"/>
    <w:rPr>
      <w:rFonts w:ascii="Times New Roman" w:eastAsia="Times New Roman" w:hAnsi="Times New Roman" w:cs="Times New Roman"/>
      <w:sz w:val="24"/>
      <w:szCs w:val="24"/>
      <w:lang w:eastAsia="en-US"/>
    </w:r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ascii="Times New Roman" w:eastAsia="Times New Roman" w:hAnsi="Times New Roman" w:cs="Times New Roman"/>
      <w:sz w:val="24"/>
      <w:szCs w:val="24"/>
      <w:lang w:eastAsia="en-US"/>
    </w:rPr>
  </w:style>
  <w:style w:type="character" w:styleId="PageNumber">
    <w:name w:val="page number"/>
    <w:basedOn w:val="DefaultParagraphFont"/>
  </w:style>
  <w:style w:type="paragraph" w:styleId="Quote">
    <w:name w:val="Quote"/>
    <w:basedOn w:val="Normal"/>
    <w:next w:val="BodyTextContinued"/>
    <w:link w:val="QuoteChar"/>
    <w:pPr>
      <w:spacing w:after="240"/>
      <w:ind w:left="1440" w:right="1440"/>
    </w:pPr>
    <w:rPr>
      <w:szCs w:val="20"/>
    </w:rPr>
  </w:style>
  <w:style w:type="character" w:customStyle="1" w:styleId="QuoteChar">
    <w:name w:val="Quote Char"/>
    <w:basedOn w:val="DefaultParagraphFont"/>
    <w:link w:val="Quote"/>
    <w:rPr>
      <w:rFonts w:ascii="Times New Roman" w:eastAsia="Times New Roman" w:hAnsi="Times New Roman" w:cs="Times New Roman"/>
      <w:sz w:val="24"/>
      <w:szCs w:val="20"/>
      <w:lang w:eastAsia="en-US"/>
    </w:rPr>
  </w:style>
  <w:style w:type="paragraph" w:styleId="Title">
    <w:name w:val="Title"/>
    <w:basedOn w:val="Normal"/>
    <w:next w:val="BodyText"/>
    <w:link w:val="TitleChar"/>
    <w:qFormat/>
    <w:pPr>
      <w:spacing w:after="240"/>
      <w:jc w:val="center"/>
      <w:outlineLvl w:val="0"/>
    </w:pPr>
    <w:rPr>
      <w:b/>
      <w:caps/>
      <w:szCs w:val="20"/>
    </w:rPr>
  </w:style>
  <w:style w:type="character" w:customStyle="1" w:styleId="TitleChar">
    <w:name w:val="Title Char"/>
    <w:basedOn w:val="DefaultParagraphFont"/>
    <w:link w:val="Title"/>
    <w:rPr>
      <w:rFonts w:ascii="Times New Roman" w:eastAsia="Times New Roman" w:hAnsi="Times New Roman" w:cs="Times New Roman"/>
      <w:b/>
      <w:caps/>
      <w:sz w:val="24"/>
      <w:szCs w:val="20"/>
      <w:lang w:eastAsia="en-US"/>
    </w:rPr>
  </w:style>
  <w:style w:type="table" w:styleId="TableGrid">
    <w:name w:val="Table Grid"/>
    <w:basedOn w:val="TableNormal"/>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ang">
    <w:name w:val="hang"/>
    <w:basedOn w:val="Normal"/>
    <w:qFormat/>
    <w:pPr>
      <w:tabs>
        <w:tab w:val="left" w:pos="336"/>
      </w:tabs>
      <w:spacing w:before="60"/>
      <w:ind w:left="288" w:hanging="288"/>
    </w:pPr>
    <w:rPr>
      <w:b/>
    </w:rPr>
  </w:style>
  <w:style w:type="character" w:customStyle="1" w:styleId="zzmpTrailerItem">
    <w:name w:val="zzmpTrailerItem"/>
    <w:rPr>
      <w:rFonts w:ascii="Arial" w:hAnsi="Arial" w:cs="Arial"/>
      <w:dstrike w:val="0"/>
      <w:noProof/>
      <w:color w:val="auto"/>
      <w:spacing w:val="0"/>
      <w:position w:val="0"/>
      <w:sz w:val="16"/>
      <w:szCs w:val="16"/>
      <w:u w:val="none"/>
      <w:effect w:val="none"/>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70D071A70A34A46899E471088F1BC4F" ma:contentTypeVersion="14" ma:contentTypeDescription="Create a new document." ma:contentTypeScope="" ma:versionID="71d549a62341e9385bebdc51a5c72ed0">
  <xsd:schema xmlns:xsd="http://www.w3.org/2001/XMLSchema" xmlns:xs="http://www.w3.org/2001/XMLSchema" xmlns:p="http://schemas.microsoft.com/office/2006/metadata/properties" xmlns:ns2="111dcc26-4a68-40fd-8b32-cc163fa8df59" xmlns:ns3="4494cc7c-873d-4c80-9650-25ed479db56e" xmlns:ns4="5ea67a00-16f2-46e9-b61b-e7bbbda2883f" targetNamespace="http://schemas.microsoft.com/office/2006/metadata/properties" ma:root="true" ma:fieldsID="c6196b5aacddbbcea51692e08fa45ef1" ns2:_="" ns3:_="" ns4:_="">
    <xsd:import namespace="111dcc26-4a68-40fd-8b32-cc163fa8df59"/>
    <xsd:import namespace="4494cc7c-873d-4c80-9650-25ed479db56e"/>
    <xsd:import namespace="5ea67a00-16f2-46e9-b61b-e7bbbda2883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4:SharedWithUsers" minOccurs="0"/>
                <xsd:element ref="ns4: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1dcc26-4a68-40fd-8b32-cc163fa8df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7c0b7209-8b30-4d9f-9476-6b035fe2b63b"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494cc7c-873d-4c80-9650-25ed479db56e"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7ddaf59-4077-4a75-aeff-a7fbbd614abf}" ma:internalName="TaxCatchAll" ma:showField="CatchAllData" ma:web="5ea67a00-16f2-46e9-b61b-e7bbbda2883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ea67a00-16f2-46e9-b61b-e7bbbda2883f"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494cc7c-873d-4c80-9650-25ed479db56e" xsi:nil="true"/>
    <lcf76f155ced4ddcb4097134ff3c332f xmlns="111dcc26-4a68-40fd-8b32-cc163fa8df5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D0DF9F3-09C8-4E55-A81D-AE1B2356DDD2}">
  <ds:schemaRefs>
    <ds:schemaRef ds:uri="http://schemas.openxmlformats.org/officeDocument/2006/bibliography"/>
  </ds:schemaRefs>
</ds:datastoreItem>
</file>

<file path=customXml/itemProps2.xml><?xml version="1.0" encoding="utf-8"?>
<ds:datastoreItem xmlns:ds="http://schemas.openxmlformats.org/officeDocument/2006/customXml" ds:itemID="{75C81507-02A2-4EB9-8B21-00D5D4548B6D}"/>
</file>

<file path=customXml/itemProps3.xml><?xml version="1.0" encoding="utf-8"?>
<ds:datastoreItem xmlns:ds="http://schemas.openxmlformats.org/officeDocument/2006/customXml" ds:itemID="{67A6FAE8-ED53-4CE4-BFBD-F5CCDD3DBF0B}"/>
</file>

<file path=customXml/itemProps4.xml><?xml version="1.0" encoding="utf-8"?>
<ds:datastoreItem xmlns:ds="http://schemas.openxmlformats.org/officeDocument/2006/customXml" ds:itemID="{6C99135C-0DD0-4194-8EB5-04036ECF5155}"/>
</file>

<file path=docProps/app.xml><?xml version="1.0" encoding="utf-8"?>
<Properties xmlns="http://schemas.openxmlformats.org/officeDocument/2006/extended-properties" xmlns:vt="http://schemas.openxmlformats.org/officeDocument/2006/docPropsVTypes">
  <Pages>1</Pages>
  <Words>317</Words>
  <Characters>1802</Characters>
  <Application>Microsoft Office Word</Application>
  <DocSecurity>0</DocSecurity>
  <Lines>76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0x010100970D071A70A34A46899E471088F1BC4F</vt:lpwstr>
  </property>
</Properties>
</file>